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7EAE5BCB"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FF6BD8" w:rsidRPr="46221458">
        <w:rPr>
          <w:rFonts w:ascii="Arial" w:eastAsia="Times New Roman" w:hAnsi="Arial"/>
          <w:b/>
          <w:bCs/>
          <w:sz w:val="24"/>
          <w:szCs w:val="24"/>
        </w:rPr>
        <w:t>5</w:t>
      </w:r>
      <w:r w:rsidR="006C0739" w:rsidRPr="46221458">
        <w:rPr>
          <w:rFonts w:ascii="Arial" w:eastAsia="Times New Roman" w:hAnsi="Arial"/>
          <w:b/>
          <w:bCs/>
          <w:sz w:val="24"/>
          <w:szCs w:val="24"/>
        </w:rPr>
        <w:t>bis</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745D1A" w:rsidRPr="46221458">
        <w:rPr>
          <w:rFonts w:ascii="Arial" w:eastAsia="Times New Roman" w:hAnsi="Arial"/>
          <w:b/>
          <w:bCs/>
          <w:sz w:val="24"/>
          <w:szCs w:val="24"/>
        </w:rPr>
        <w:t>40</w:t>
      </w:r>
      <w:r w:rsidR="02890A85" w:rsidRPr="46221458">
        <w:rPr>
          <w:rFonts w:ascii="Arial" w:eastAsia="Times New Roman" w:hAnsi="Arial"/>
          <w:b/>
          <w:bCs/>
          <w:sz w:val="24"/>
          <w:szCs w:val="24"/>
        </w:rPr>
        <w:t>2807</w:t>
      </w:r>
    </w:p>
    <w:p w14:paraId="3CF0036C" w14:textId="684379C3" w:rsidR="00453B12" w:rsidRDefault="005A6301" w:rsidP="00453B12">
      <w:pPr>
        <w:widowControl w:val="0"/>
        <w:tabs>
          <w:tab w:val="right" w:pos="9639"/>
        </w:tabs>
        <w:spacing w:after="0"/>
        <w:rPr>
          <w:rFonts w:ascii="Arial" w:eastAsia="Times New Roman" w:hAnsi="Arial"/>
          <w:b/>
          <w:bCs/>
          <w:i/>
          <w:sz w:val="24"/>
          <w:szCs w:val="24"/>
        </w:rPr>
      </w:pPr>
      <w:r w:rsidRPr="005A6301">
        <w:rPr>
          <w:rFonts w:ascii="Arial" w:eastAsia="Times New Roman" w:hAnsi="Arial"/>
          <w:b/>
          <w:bCs/>
          <w:sz w:val="24"/>
          <w:szCs w:val="24"/>
        </w:rPr>
        <w:t xml:space="preserve">Changsha, China, April 15th – 19th, 2024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615F161B"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F709D">
        <w:rPr>
          <w:rFonts w:ascii="Arial" w:eastAsia="MS Mincho" w:hAnsi="Arial" w:cs="Arial"/>
          <w:b/>
          <w:bCs/>
          <w:sz w:val="24"/>
        </w:rPr>
        <w:t>8.8.4</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3A7BF87A"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F709D">
        <w:rPr>
          <w:rFonts w:ascii="Arial" w:eastAsia="Times New Roman" w:hAnsi="Arial" w:cs="Arial"/>
          <w:b/>
          <w:bCs/>
          <w:sz w:val="24"/>
        </w:rPr>
        <w:t>MBS broadcast</w:t>
      </w:r>
      <w:r w:rsidR="00DA30C0">
        <w:rPr>
          <w:rFonts w:ascii="Arial" w:eastAsia="Times New Roman" w:hAnsi="Arial" w:cs="Arial"/>
          <w:b/>
          <w:bCs/>
          <w:sz w:val="24"/>
        </w:rPr>
        <w:t xml:space="preserve"> service area information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709C27CB" w14:textId="45C05CA4" w:rsidR="004B6A20" w:rsidRDefault="00905F05" w:rsidP="00BC4C81">
      <w:pPr>
        <w:pStyle w:val="B1"/>
        <w:ind w:left="0" w:firstLine="0"/>
      </w:pPr>
      <w:r w:rsidRPr="3FCBD0A6">
        <w:t>In RAN WID [1], following is the objective specified for the MBS broadcast.</w:t>
      </w:r>
    </w:p>
    <w:p w14:paraId="557FED52" w14:textId="77777777" w:rsidR="007064FB" w:rsidRPr="00BD1CDB" w:rsidRDefault="007064FB" w:rsidP="00BD1CDB">
      <w:pPr>
        <w:overflowPunct w:val="0"/>
        <w:autoSpaceDE w:val="0"/>
        <w:autoSpaceDN w:val="0"/>
        <w:adjustRightInd w:val="0"/>
        <w:spacing w:after="0" w:line="276" w:lineRule="auto"/>
        <w:ind w:left="363"/>
        <w:textAlignment w:val="baseline"/>
        <w:rPr>
          <w:i/>
          <w:iCs/>
          <w:lang w:val="en-US" w:eastAsia="ko-KR"/>
        </w:rPr>
      </w:pPr>
      <w:r w:rsidRPr="00BD1CDB">
        <w:rPr>
          <w:i/>
          <w:iCs/>
          <w:lang w:val="en-US" w:eastAsia="ko-KR"/>
        </w:rPr>
        <w:t>Specify signaling of the intended service area of a broadcast service (e.g. MBS broadcast) via NR NTN [RAN2, RAN3]</w:t>
      </w:r>
    </w:p>
    <w:p w14:paraId="27C03FA1" w14:textId="77777777" w:rsidR="007064FB" w:rsidRPr="00BD1CDB" w:rsidRDefault="007064FB" w:rsidP="00BD1CDB">
      <w:pPr>
        <w:pStyle w:val="ListParagraph"/>
        <w:widowControl w:val="0"/>
        <w:numPr>
          <w:ilvl w:val="0"/>
          <w:numId w:val="24"/>
        </w:numPr>
        <w:spacing w:after="0" w:line="276" w:lineRule="auto"/>
        <w:ind w:left="1083" w:hanging="357"/>
        <w:jc w:val="both"/>
        <w:rPr>
          <w:i/>
          <w:iCs/>
        </w:rPr>
      </w:pPr>
      <w:r w:rsidRPr="00BD1CDB">
        <w:rPr>
          <w:i/>
          <w:iCs/>
        </w:rPr>
        <w:t xml:space="preserve">Specify SIB </w:t>
      </w:r>
      <w:proofErr w:type="spellStart"/>
      <w:r w:rsidRPr="00BD1CDB">
        <w:rPr>
          <w:i/>
          <w:iCs/>
        </w:rPr>
        <w:t>signaling</w:t>
      </w:r>
      <w:proofErr w:type="spellEnd"/>
      <w:r w:rsidRPr="00BD1CDB">
        <w:rPr>
          <w:i/>
          <w:iCs/>
        </w:rPr>
        <w:t xml:space="preserve"> to indicate the intended service area in case the satellite footprint covers a larger area. [RAN2]</w:t>
      </w:r>
    </w:p>
    <w:p w14:paraId="1555B8FD" w14:textId="77777777" w:rsidR="007064FB" w:rsidRPr="00BD1CDB" w:rsidRDefault="007064FB" w:rsidP="00BD1CDB">
      <w:pPr>
        <w:pStyle w:val="ListParagraph"/>
        <w:widowControl w:val="0"/>
        <w:numPr>
          <w:ilvl w:val="0"/>
          <w:numId w:val="24"/>
        </w:numPr>
        <w:spacing w:after="0" w:line="276" w:lineRule="auto"/>
        <w:ind w:left="1083" w:hanging="357"/>
        <w:jc w:val="both"/>
        <w:rPr>
          <w:i/>
          <w:iCs/>
        </w:rPr>
      </w:pPr>
      <w:r w:rsidRPr="00BD1CDB">
        <w:rPr>
          <w:i/>
          <w:iCs/>
        </w:rPr>
        <w:t xml:space="preserve">Specify the necessary </w:t>
      </w:r>
      <w:proofErr w:type="spellStart"/>
      <w:r w:rsidRPr="00BD1CDB">
        <w:rPr>
          <w:i/>
          <w:iCs/>
        </w:rPr>
        <w:t>signaling</w:t>
      </w:r>
      <w:proofErr w:type="spellEnd"/>
      <w:r w:rsidRPr="00BD1CDB">
        <w:rPr>
          <w:i/>
          <w:iCs/>
        </w:rPr>
        <w:t xml:space="preserve"> between CN and NG-RAN. [RAN3]</w:t>
      </w:r>
    </w:p>
    <w:p w14:paraId="72368B46" w14:textId="77777777" w:rsidR="00905F05" w:rsidRDefault="00905F05" w:rsidP="00BC4C81">
      <w:pPr>
        <w:pStyle w:val="B1"/>
        <w:ind w:left="0" w:firstLine="0"/>
      </w:pPr>
    </w:p>
    <w:p w14:paraId="52317F18" w14:textId="7F63DCE4" w:rsidR="007064FB" w:rsidRDefault="007064FB" w:rsidP="00BC4C81">
      <w:pPr>
        <w:pStyle w:val="B1"/>
        <w:ind w:left="0" w:firstLine="0"/>
      </w:pPr>
      <w:r w:rsidRPr="3FCBD0A6">
        <w:t>In RAN2 scope, the</w:t>
      </w:r>
      <w:r w:rsidR="00661AB9" w:rsidRPr="3FCBD0A6">
        <w:t xml:space="preserve"> objective is to provide the service area of a broadcast service. In this document, we discuss the use of such</w:t>
      </w:r>
      <w:r w:rsidR="00BD1CDB" w:rsidRPr="3FCBD0A6">
        <w:t xml:space="preserve"> service area and possible </w:t>
      </w:r>
      <w:proofErr w:type="spellStart"/>
      <w:r w:rsidR="00BD1CDB" w:rsidRPr="3FCBD0A6">
        <w:t>signaling</w:t>
      </w:r>
      <w:proofErr w:type="spellEnd"/>
      <w:r w:rsidR="00BD1CDB" w:rsidRPr="3FCBD0A6">
        <w:t xml:space="preserve"> options.</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63505C4E" w14:textId="77777777" w:rsidR="0086117A" w:rsidRDefault="0086117A" w:rsidP="00453B12"/>
    <w:p w14:paraId="27AAAA0C" w14:textId="77777777" w:rsidR="0086117A" w:rsidRDefault="00564DAA" w:rsidP="0086117A">
      <w:pPr>
        <w:keepNext/>
        <w:jc w:val="center"/>
      </w:pPr>
      <w:r>
        <w:object w:dxaOrig="13292" w:dyaOrig="9706" w14:anchorId="69DCD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87.2pt" o:ole="">
            <v:imagedata r:id="rId11" o:title=""/>
          </v:shape>
          <o:OLEObject Type="Embed" ProgID="Visio.Drawing.15" ShapeID="_x0000_i1025" DrawAspect="Content" ObjectID="_1773756700" r:id="rId12"/>
        </w:object>
      </w:r>
    </w:p>
    <w:p w14:paraId="76CFE812" w14:textId="11AEAB34" w:rsidR="00BD1CDB" w:rsidRDefault="0086117A" w:rsidP="0086117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930583">
        <w:t xml:space="preserve"> Example of intended and not intended MBS broadcast service </w:t>
      </w:r>
      <w:proofErr w:type="gramStart"/>
      <w:r w:rsidR="00930583">
        <w:t>areas</w:t>
      </w:r>
      <w:proofErr w:type="gramEnd"/>
    </w:p>
    <w:p w14:paraId="6FA2C60E" w14:textId="26C183B8" w:rsidR="003A75B4" w:rsidRDefault="003A75B4" w:rsidP="003A75B4">
      <w:r>
        <w:t>NTN cell coverage can be very large and MBS broadcast via such cell means the MBS broadcast service is available in the whole area of the cell coverage. F</w:t>
      </w:r>
      <w:r w:rsidRPr="006D5A22">
        <w:t>or some cases the intended service area is expected to be smaller than the coverage of a cell,</w:t>
      </w:r>
      <w:r>
        <w:t xml:space="preserve"> for example, the beam covers multiple territories or countries,</w:t>
      </w:r>
      <w:r w:rsidRPr="006D5A22">
        <w:t xml:space="preserve"> some enhancements </w:t>
      </w:r>
      <w:r>
        <w:t>may be need</w:t>
      </w:r>
      <w:r w:rsidR="001120ED">
        <w:t>ed</w:t>
      </w:r>
      <w:r>
        <w:t xml:space="preserve"> to make UEs aware of the intended service area.</w:t>
      </w:r>
    </w:p>
    <w:p w14:paraId="5294E964" w14:textId="77777777" w:rsidR="003A75B4" w:rsidRDefault="003A75B4" w:rsidP="003A75B4">
      <w:r>
        <w:t>As enhancements, the objective in WID is following:</w:t>
      </w:r>
    </w:p>
    <w:p w14:paraId="35CA8728" w14:textId="77777777" w:rsidR="003A75B4" w:rsidRPr="00BD1CDB" w:rsidRDefault="003A75B4" w:rsidP="003A75B4">
      <w:pPr>
        <w:pStyle w:val="ListParagraph"/>
        <w:widowControl w:val="0"/>
        <w:numPr>
          <w:ilvl w:val="0"/>
          <w:numId w:val="24"/>
        </w:numPr>
        <w:spacing w:after="0" w:line="276" w:lineRule="auto"/>
        <w:ind w:left="1083" w:hanging="357"/>
        <w:jc w:val="both"/>
        <w:rPr>
          <w:i/>
          <w:iCs/>
        </w:rPr>
      </w:pPr>
      <w:r w:rsidRPr="00BD1CDB">
        <w:rPr>
          <w:i/>
          <w:iCs/>
        </w:rPr>
        <w:t xml:space="preserve">Specify SIB </w:t>
      </w:r>
      <w:proofErr w:type="spellStart"/>
      <w:r w:rsidRPr="00BD1CDB">
        <w:rPr>
          <w:i/>
          <w:iCs/>
        </w:rPr>
        <w:t>signaling</w:t>
      </w:r>
      <w:proofErr w:type="spellEnd"/>
      <w:r w:rsidRPr="00BD1CDB">
        <w:rPr>
          <w:i/>
          <w:iCs/>
        </w:rPr>
        <w:t xml:space="preserve"> to indicate the intended service area in case the satellite footprint covers a larger area. [RAN2]</w:t>
      </w:r>
    </w:p>
    <w:p w14:paraId="35AFDD9A" w14:textId="7EF51E85" w:rsidR="003A75B4" w:rsidRDefault="003A75B4" w:rsidP="003A75B4">
      <w:r>
        <w:t>Currently SIB25 provides list of coverage areas where TN services are available. Here we have defined clearly what a UE is supposed to do with such information, i.e. UE can utilize such information to skip frequency measurement and save power. In the similar way, such</w:t>
      </w:r>
      <w:r w:rsidR="00121D6B">
        <w:t xml:space="preserve"> list</w:t>
      </w:r>
      <w:r>
        <w:t xml:space="preserve"> </w:t>
      </w:r>
      <w:r w:rsidR="00121D6B">
        <w:t>of geographical areas</w:t>
      </w:r>
      <w:r>
        <w:t xml:space="preserve"> can be introduced. We may also need to clarify </w:t>
      </w:r>
      <w:r>
        <w:lastRenderedPageBreak/>
        <w:t>UE’s action i.e., how a UE is supposed to act upon receiving such information. For example, what are the actions for UE1 and UE2 in figure 1.</w:t>
      </w:r>
    </w:p>
    <w:p w14:paraId="36D52F24" w14:textId="02047DF3" w:rsidR="003A75B4" w:rsidRDefault="003A75B4" w:rsidP="003A75B4">
      <w:r>
        <w:t xml:space="preserve">As shown in figure 1, if the UE2 determines it is in the area where the broadcast service is not intended to be provided, then the UE2 </w:t>
      </w:r>
      <w:r w:rsidR="00DD2504">
        <w:t>may</w:t>
      </w:r>
      <w:r>
        <w:t xml:space="preserve"> assume the service is not intended for the </w:t>
      </w:r>
      <w:r w:rsidR="004F4B8E">
        <w:t xml:space="preserve">local </w:t>
      </w:r>
      <w:r>
        <w:t xml:space="preserve">region where the UE is based in. If we specify location-based service restriction, there would be no mechanism to enforce </w:t>
      </w:r>
      <w:r w:rsidR="005473B9">
        <w:t>it</w:t>
      </w:r>
      <w:r>
        <w:t xml:space="preserve"> in RRC_IDLE. For example, the UE1 in RRC_IDLE could just move to the area (where the broadcast service is supposed to be not intended) and could continue receiving the broadcast service.</w:t>
      </w:r>
      <w:r w:rsidR="008D7D8B">
        <w:t xml:space="preserve"> In RRC_IDLE, the UE </w:t>
      </w:r>
      <w:r w:rsidR="00B539DC">
        <w:t>is not required to</w:t>
      </w:r>
      <w:r w:rsidR="008D7D8B">
        <w:t xml:space="preserve"> update its GNSS position very frequently, therefore, location-based restriction </w:t>
      </w:r>
      <w:r w:rsidR="005473B9">
        <w:t>is not enforceable</w:t>
      </w:r>
      <w:r w:rsidR="008D7D8B">
        <w:t>.</w:t>
      </w:r>
    </w:p>
    <w:p w14:paraId="2B7E5BE2" w14:textId="4BFE59A7" w:rsidR="003A75B4" w:rsidRDefault="00D2317F" w:rsidP="003A75B4">
      <w:r>
        <w:t>I</w:t>
      </w:r>
      <w:r w:rsidR="003A75B4">
        <w:t xml:space="preserve">t </w:t>
      </w:r>
      <w:r>
        <w:t>needs</w:t>
      </w:r>
      <w:r w:rsidR="003A75B4">
        <w:t xml:space="preserve"> </w:t>
      </w:r>
      <w:r w:rsidR="008E2ED7">
        <w:t xml:space="preserve">to </w:t>
      </w:r>
      <w:r w:rsidR="003A75B4">
        <w:t xml:space="preserve">be clear that the purpose of providing MBS broadcast service area is to inform the UEs that the MBS broadcast service </w:t>
      </w:r>
      <w:r>
        <w:t>could be</w:t>
      </w:r>
      <w:r w:rsidR="003A75B4">
        <w:t xml:space="preserve"> regional and may not be applicable/useful in </w:t>
      </w:r>
      <w:r w:rsidR="00BA59FF">
        <w:t>other regions</w:t>
      </w:r>
      <w:r w:rsidR="003A75B4">
        <w:t xml:space="preserve">. For example, this may be the </w:t>
      </w:r>
      <w:r w:rsidR="007A714C">
        <w:t xml:space="preserve">regional </w:t>
      </w:r>
      <w:r w:rsidR="003A75B4">
        <w:t>broadcast</w:t>
      </w:r>
      <w:r w:rsidR="007A714C">
        <w:t xml:space="preserve"> service</w:t>
      </w:r>
      <w:r w:rsidR="003A75B4">
        <w:t xml:space="preserve"> based on local language or local</w:t>
      </w:r>
      <w:r w:rsidR="002D7705">
        <w:t xml:space="preserve"> broadcast</w:t>
      </w:r>
      <w:r w:rsidR="003A75B4">
        <w:t xml:space="preserve"> service</w:t>
      </w:r>
      <w:r w:rsidR="00BA59FF">
        <w:t xml:space="preserve"> or local news service</w:t>
      </w:r>
      <w:r w:rsidR="003A75B4">
        <w:t xml:space="preserve"> of a region</w:t>
      </w:r>
      <w:r w:rsidR="00C1362B">
        <w:t>/country</w:t>
      </w:r>
      <w:r w:rsidR="003A75B4">
        <w:t xml:space="preserve"> and users in other region</w:t>
      </w:r>
      <w:r w:rsidR="00C1362B">
        <w:t>/country</w:t>
      </w:r>
      <w:r w:rsidR="003A75B4">
        <w:t xml:space="preserve"> may not find it useful, however, this does not mean </w:t>
      </w:r>
      <w:r w:rsidR="00BA59FF">
        <w:t>UEs based</w:t>
      </w:r>
      <w:r w:rsidR="003A75B4">
        <w:t xml:space="preserve"> in other regions are restricted</w:t>
      </w:r>
      <w:r w:rsidR="008758EE">
        <w:t xml:space="preserve"> to access the MBS broadcast service.</w:t>
      </w:r>
      <w:r w:rsidR="003A75B4">
        <w:t xml:space="preserve"> </w:t>
      </w:r>
    </w:p>
    <w:p w14:paraId="131A1FC7" w14:textId="120447DE" w:rsidR="00EE36C6" w:rsidRDefault="00EE36C6" w:rsidP="007F26E2">
      <w:pPr>
        <w:pStyle w:val="Observation"/>
      </w:pPr>
      <w:bookmarkStart w:id="0" w:name="_Toc162869531"/>
      <w:bookmarkStart w:id="1" w:name="_Toc163142664"/>
      <w:bookmarkStart w:id="2" w:name="_Toc163142718"/>
      <w:r>
        <w:t xml:space="preserve">The purpose of </w:t>
      </w:r>
      <w:proofErr w:type="spellStart"/>
      <w:r>
        <w:t>signaling</w:t>
      </w:r>
      <w:proofErr w:type="spellEnd"/>
      <w:r>
        <w:t xml:space="preserve"> MBS broad</w:t>
      </w:r>
      <w:r w:rsidR="005A4DD8">
        <w:t>c</w:t>
      </w:r>
      <w:r>
        <w:t xml:space="preserve">ast service area </w:t>
      </w:r>
      <w:r w:rsidR="00C338C1">
        <w:t>could</w:t>
      </w:r>
      <w:r>
        <w:t xml:space="preserve"> be to indicate</w:t>
      </w:r>
      <w:r w:rsidR="00C338C1">
        <w:t xml:space="preserve"> that</w:t>
      </w:r>
      <w:r>
        <w:t xml:space="preserve"> the</w:t>
      </w:r>
      <w:r w:rsidR="00BB00E3">
        <w:t xml:space="preserve"> regional</w:t>
      </w:r>
      <w:r w:rsidR="00D75361">
        <w:t xml:space="preserve"> or local</w:t>
      </w:r>
      <w:r w:rsidR="00BB00E3">
        <w:t xml:space="preserve"> broadcast service may not be </w:t>
      </w:r>
      <w:r w:rsidR="004A1B8A">
        <w:t>intended for UEs</w:t>
      </w:r>
      <w:r w:rsidR="007F26E2">
        <w:t xml:space="preserve"> outside of the broadcast service area.</w:t>
      </w:r>
      <w:bookmarkEnd w:id="0"/>
      <w:bookmarkEnd w:id="1"/>
      <w:bookmarkEnd w:id="2"/>
    </w:p>
    <w:p w14:paraId="13002A3A" w14:textId="4EE926A6" w:rsidR="00777CBA" w:rsidRDefault="00777CBA" w:rsidP="00777CBA">
      <w:r>
        <w:t>Currently, if</w:t>
      </w:r>
      <w:r w:rsidRPr="0055032C">
        <w:t xml:space="preserve"> the UE can only receive th</w:t>
      </w:r>
      <w:r>
        <w:t>e</w:t>
      </w:r>
      <w:r w:rsidRPr="0055032C">
        <w:t xml:space="preserve"> MBS broadcast service(s) by camping on a frequency on which it is provided, the UE </w:t>
      </w:r>
      <w:r>
        <w:t>can</w:t>
      </w:r>
      <w:r w:rsidRPr="0055032C">
        <w:t xml:space="preserve"> consider that frequency to be the highest priority during the MBS broadcast session</w:t>
      </w:r>
      <w:r>
        <w:t>. Similarly, the UE action could be defining further priority of the frequency</w:t>
      </w:r>
      <w:r w:rsidR="0002101C">
        <w:t xml:space="preserve"> during cell reselection evaluation</w:t>
      </w:r>
      <w:r>
        <w:t xml:space="preserve"> based on the service area where the UE is present.</w:t>
      </w:r>
      <w:r w:rsidR="00AF367E">
        <w:t xml:space="preserve"> </w:t>
      </w:r>
      <w:r w:rsidR="00617871">
        <w:t>The detail on how to capture the text can also be further discussed</w:t>
      </w:r>
      <w:r w:rsidR="00C338C1">
        <w:t xml:space="preserve"> later</w:t>
      </w:r>
      <w:r w:rsidR="00617871">
        <w:t>.</w:t>
      </w:r>
    </w:p>
    <w:p w14:paraId="2997C4D8" w14:textId="1BDBCE33" w:rsidR="003A75B4" w:rsidRDefault="003A75B4" w:rsidP="003A75B4">
      <w:pPr>
        <w:pStyle w:val="Proposal"/>
        <w:numPr>
          <w:ilvl w:val="0"/>
          <w:numId w:val="7"/>
        </w:numPr>
        <w:overflowPunct w:val="0"/>
        <w:autoSpaceDE w:val="0"/>
        <w:autoSpaceDN w:val="0"/>
        <w:adjustRightInd w:val="0"/>
        <w:spacing w:before="240" w:after="240" w:line="360" w:lineRule="auto"/>
        <w:contextualSpacing/>
        <w:textAlignment w:val="baseline"/>
      </w:pPr>
      <w:bookmarkStart w:id="3" w:name="_Toc162536244"/>
      <w:bookmarkStart w:id="4" w:name="_Toc162536483"/>
      <w:bookmarkStart w:id="5" w:name="_Toc162551360"/>
      <w:bookmarkStart w:id="6" w:name="_Toc162551389"/>
      <w:bookmarkStart w:id="7" w:name="_Toc162552266"/>
      <w:bookmarkStart w:id="8" w:name="_Toc162858918"/>
      <w:bookmarkStart w:id="9" w:name="_Toc162869532"/>
      <w:bookmarkStart w:id="10" w:name="_Toc163142665"/>
      <w:bookmarkStart w:id="11" w:name="_Toc163142719"/>
      <w:r w:rsidRPr="00241E90">
        <w:t xml:space="preserve">Confirm that UE outside of broadcast service area may be able to get the service, i.e. RAN2 </w:t>
      </w:r>
      <w:r w:rsidR="00B124A8">
        <w:t xml:space="preserve">will not work on solution to restrict the </w:t>
      </w:r>
      <w:r w:rsidRPr="00241E90">
        <w:t>access to the</w:t>
      </w:r>
      <w:r w:rsidR="00EE599D">
        <w:t xml:space="preserve"> MBS</w:t>
      </w:r>
      <w:r w:rsidRPr="00241E90">
        <w:t xml:space="preserve"> broadcast outside of </w:t>
      </w:r>
      <w:r w:rsidR="00461244">
        <w:t xml:space="preserve">intended </w:t>
      </w:r>
      <w:r w:rsidRPr="00241E90">
        <w:t>broadcast service area.</w:t>
      </w:r>
      <w:bookmarkEnd w:id="3"/>
      <w:bookmarkEnd w:id="4"/>
      <w:bookmarkEnd w:id="5"/>
      <w:bookmarkEnd w:id="6"/>
      <w:bookmarkEnd w:id="7"/>
      <w:bookmarkEnd w:id="8"/>
      <w:bookmarkEnd w:id="9"/>
      <w:bookmarkEnd w:id="10"/>
      <w:bookmarkEnd w:id="11"/>
    </w:p>
    <w:p w14:paraId="05640729" w14:textId="7D2E950C" w:rsidR="00FB1C0E" w:rsidRPr="00E41273" w:rsidRDefault="00FB1C0E" w:rsidP="00453B12">
      <w:pPr>
        <w:rPr>
          <w:b/>
          <w:bCs/>
          <w:u w:val="single"/>
        </w:rPr>
      </w:pPr>
      <w:proofErr w:type="spellStart"/>
      <w:r w:rsidRPr="00E41273">
        <w:rPr>
          <w:b/>
          <w:bCs/>
          <w:u w:val="single"/>
        </w:rPr>
        <w:t>Signaling</w:t>
      </w:r>
      <w:proofErr w:type="spellEnd"/>
      <w:r w:rsidRPr="00E41273">
        <w:rPr>
          <w:b/>
          <w:bCs/>
          <w:u w:val="single"/>
        </w:rPr>
        <w:t xml:space="preserve"> of</w:t>
      </w:r>
      <w:r w:rsidR="0086117A" w:rsidRPr="00E41273">
        <w:rPr>
          <w:b/>
          <w:bCs/>
          <w:u w:val="single"/>
        </w:rPr>
        <w:t xml:space="preserve"> MBS broadcast service area</w:t>
      </w:r>
    </w:p>
    <w:tbl>
      <w:tblPr>
        <w:tblStyle w:val="TableGrid"/>
        <w:tblW w:w="0" w:type="auto"/>
        <w:tblInd w:w="265" w:type="dxa"/>
        <w:tblLook w:val="04A0" w:firstRow="1" w:lastRow="0" w:firstColumn="1" w:lastColumn="0" w:noHBand="0" w:noVBand="1"/>
      </w:tblPr>
      <w:tblGrid>
        <w:gridCol w:w="8550"/>
      </w:tblGrid>
      <w:tr w:rsidR="00895DE4" w14:paraId="4D47559C" w14:textId="77777777" w:rsidTr="004D1A5F">
        <w:tc>
          <w:tcPr>
            <w:tcW w:w="8550" w:type="dxa"/>
          </w:tcPr>
          <w:p w14:paraId="0381012B" w14:textId="77777777" w:rsidR="00895DE4" w:rsidRPr="0095250E" w:rsidRDefault="00895DE4" w:rsidP="00895DE4">
            <w:pPr>
              <w:pStyle w:val="Heading4"/>
            </w:pPr>
            <w:bookmarkStart w:id="12" w:name="_Toc156130288"/>
            <w:r w:rsidRPr="0095250E">
              <w:t>–</w:t>
            </w:r>
            <w:r w:rsidRPr="0095250E">
              <w:tab/>
            </w:r>
            <w:r w:rsidRPr="0095250E">
              <w:rPr>
                <w:lang w:eastAsia="zh-CN"/>
              </w:rPr>
              <w:t>SIB25</w:t>
            </w:r>
            <w:bookmarkEnd w:id="12"/>
          </w:p>
          <w:p w14:paraId="07168938" w14:textId="77777777" w:rsidR="00895DE4" w:rsidRPr="0095250E" w:rsidRDefault="00895DE4" w:rsidP="00895DE4">
            <w:pPr>
              <w:rPr>
                <w:iCs/>
              </w:rPr>
            </w:pPr>
            <w:r w:rsidRPr="0095250E">
              <w:rPr>
                <w:i/>
                <w:lang w:eastAsia="zh-CN"/>
              </w:rPr>
              <w:t>SIB25</w:t>
            </w:r>
            <w:r w:rsidRPr="0095250E">
              <w:rPr>
                <w:iCs/>
                <w:lang w:eastAsia="zh-CN"/>
              </w:rPr>
              <w:t xml:space="preserve"> </w:t>
            </w:r>
            <w:r w:rsidRPr="0095250E">
              <w:rPr>
                <w:iCs/>
              </w:rPr>
              <w:t>contains TN coverage information to assist neighbour cell measurements for the UEs in an NTN cell.</w:t>
            </w:r>
          </w:p>
          <w:p w14:paraId="069ADE79" w14:textId="77777777" w:rsidR="00895DE4" w:rsidRPr="0095250E" w:rsidRDefault="00895DE4" w:rsidP="00895DE4">
            <w:pPr>
              <w:pStyle w:val="TH"/>
              <w:rPr>
                <w:b w:val="0"/>
                <w:bCs/>
                <w:iCs/>
              </w:rPr>
            </w:pPr>
            <w:r w:rsidRPr="0095250E">
              <w:rPr>
                <w:bCs/>
                <w:i/>
                <w:iCs/>
              </w:rPr>
              <w:t xml:space="preserve">SIB25 </w:t>
            </w:r>
            <w:r w:rsidRPr="0095250E">
              <w:t>information</w:t>
            </w:r>
            <w:r w:rsidRPr="0095250E">
              <w:rPr>
                <w:bCs/>
                <w:iCs/>
              </w:rPr>
              <w:t xml:space="preserve"> element</w:t>
            </w:r>
          </w:p>
          <w:p w14:paraId="7E55731D" w14:textId="77777777" w:rsidR="00895DE4" w:rsidRPr="0095250E" w:rsidRDefault="00895DE4" w:rsidP="004D1A5F">
            <w:pPr>
              <w:pStyle w:val="PL"/>
            </w:pPr>
            <w:r w:rsidRPr="0095250E">
              <w:t>-- ASN1START</w:t>
            </w:r>
          </w:p>
          <w:p w14:paraId="2F2E115A" w14:textId="77777777" w:rsidR="00895DE4" w:rsidRPr="0095250E" w:rsidRDefault="00895DE4" w:rsidP="004D1A5F">
            <w:pPr>
              <w:pStyle w:val="PL"/>
            </w:pPr>
            <w:r w:rsidRPr="0095250E">
              <w:t>-- TAG-SIB25-START</w:t>
            </w:r>
          </w:p>
          <w:p w14:paraId="155C803E" w14:textId="77777777" w:rsidR="00895DE4" w:rsidRPr="0095250E" w:rsidRDefault="00895DE4" w:rsidP="004D1A5F">
            <w:pPr>
              <w:pStyle w:val="PL"/>
            </w:pPr>
          </w:p>
          <w:p w14:paraId="18B07622" w14:textId="77777777" w:rsidR="00895DE4" w:rsidRPr="0095250E" w:rsidRDefault="00895DE4" w:rsidP="004D1A5F">
            <w:pPr>
              <w:pStyle w:val="PL"/>
            </w:pPr>
            <w:r w:rsidRPr="0095250E">
              <w:t>SIB25-r</w:t>
            </w:r>
            <w:proofErr w:type="gramStart"/>
            <w:r w:rsidRPr="0095250E">
              <w:t>18 ::=</w:t>
            </w:r>
            <w:proofErr w:type="gramEnd"/>
            <w:r w:rsidRPr="0095250E">
              <w:t xml:space="preserve">                  </w:t>
            </w:r>
            <w:r w:rsidRPr="0095250E">
              <w:rPr>
                <w:color w:val="993366"/>
              </w:rPr>
              <w:t>SEQUENCE</w:t>
            </w:r>
            <w:r w:rsidRPr="0095250E">
              <w:t xml:space="preserve"> {</w:t>
            </w:r>
          </w:p>
          <w:p w14:paraId="44B0C540" w14:textId="77777777" w:rsidR="00895DE4" w:rsidRPr="0095250E" w:rsidRDefault="00895DE4" w:rsidP="004D1A5F">
            <w:pPr>
              <w:pStyle w:val="PL"/>
              <w:rPr>
                <w:color w:val="808080"/>
              </w:rPr>
            </w:pPr>
            <w:r w:rsidRPr="0095250E">
              <w:t xml:space="preserve">    coverageAreaInfoList-r18       </w:t>
            </w:r>
            <w:proofErr w:type="spellStart"/>
            <w:r w:rsidRPr="0095250E">
              <w:t>CoverageAreaInfoList-r18</w:t>
            </w:r>
            <w:proofErr w:type="spellEnd"/>
            <w:r w:rsidRPr="0095250E">
              <w:t xml:space="preserve">         </w:t>
            </w:r>
            <w:proofErr w:type="gramStart"/>
            <w:r w:rsidRPr="0095250E">
              <w:rPr>
                <w:color w:val="993366"/>
              </w:rPr>
              <w:t>OPTIONAL</w:t>
            </w:r>
            <w:r w:rsidRPr="0095250E">
              <w:t xml:space="preserve">,  </w:t>
            </w:r>
            <w:r w:rsidRPr="0095250E">
              <w:rPr>
                <w:color w:val="808080"/>
              </w:rPr>
              <w:t>--</w:t>
            </w:r>
            <w:proofErr w:type="gramEnd"/>
            <w:r w:rsidRPr="0095250E">
              <w:rPr>
                <w:color w:val="808080"/>
              </w:rPr>
              <w:t xml:space="preserve"> Need R</w:t>
            </w:r>
          </w:p>
          <w:p w14:paraId="4C8C0C5B" w14:textId="77777777" w:rsidR="00895DE4" w:rsidRPr="0095250E" w:rsidRDefault="00895DE4" w:rsidP="004D1A5F">
            <w:pPr>
              <w:pStyle w:val="PL"/>
            </w:pPr>
            <w:r w:rsidRPr="0095250E">
              <w:t xml:space="preserve">    </w:t>
            </w:r>
            <w:proofErr w:type="spellStart"/>
            <w:r w:rsidRPr="0095250E">
              <w:t>lateNonCriticalExtension</w:t>
            </w:r>
            <w:proofErr w:type="spellEnd"/>
            <w:r w:rsidRPr="0095250E">
              <w:t xml:space="preserve">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3C2CC50" w14:textId="77777777" w:rsidR="00895DE4" w:rsidRPr="0095250E" w:rsidRDefault="00895DE4" w:rsidP="004D1A5F">
            <w:pPr>
              <w:pStyle w:val="PL"/>
            </w:pPr>
            <w:r w:rsidRPr="0095250E">
              <w:t xml:space="preserve">    ...</w:t>
            </w:r>
          </w:p>
          <w:p w14:paraId="5324D6F4" w14:textId="77777777" w:rsidR="00895DE4" w:rsidRPr="0095250E" w:rsidRDefault="00895DE4" w:rsidP="004D1A5F">
            <w:pPr>
              <w:pStyle w:val="PL"/>
            </w:pPr>
            <w:r w:rsidRPr="0095250E">
              <w:t>}</w:t>
            </w:r>
          </w:p>
          <w:p w14:paraId="475729D4" w14:textId="77777777" w:rsidR="00895DE4" w:rsidRPr="0095250E" w:rsidRDefault="00895DE4" w:rsidP="004D1A5F">
            <w:pPr>
              <w:pStyle w:val="PL"/>
            </w:pPr>
          </w:p>
          <w:p w14:paraId="75EC8606" w14:textId="77777777" w:rsidR="00895DE4" w:rsidRPr="0095250E" w:rsidRDefault="00895DE4" w:rsidP="004D1A5F">
            <w:pPr>
              <w:pStyle w:val="PL"/>
            </w:pPr>
            <w:r w:rsidRPr="0095250E">
              <w:t>CoverageAreaInfoList-r</w:t>
            </w:r>
            <w:proofErr w:type="gramStart"/>
            <w:r w:rsidRPr="0095250E">
              <w:t>18 ::=</w:t>
            </w:r>
            <w:proofErr w:type="gramEnd"/>
            <w:r w:rsidRPr="0095250E">
              <w:t xml:space="preserve">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CoverageAreaInfo-r18</w:t>
            </w:r>
          </w:p>
          <w:p w14:paraId="0DDE967C" w14:textId="77777777" w:rsidR="00895DE4" w:rsidRPr="0095250E" w:rsidRDefault="00895DE4" w:rsidP="004D1A5F">
            <w:pPr>
              <w:pStyle w:val="PL"/>
            </w:pPr>
          </w:p>
          <w:p w14:paraId="2F3FC1BB" w14:textId="77777777" w:rsidR="00895DE4" w:rsidRPr="0095250E" w:rsidRDefault="00895DE4" w:rsidP="004D1A5F">
            <w:pPr>
              <w:pStyle w:val="PL"/>
            </w:pPr>
            <w:r w:rsidRPr="0095250E">
              <w:t>CoverageAreaInfo-r</w:t>
            </w:r>
            <w:proofErr w:type="gramStart"/>
            <w:r w:rsidRPr="0095250E">
              <w:t>18 ::=</w:t>
            </w:r>
            <w:proofErr w:type="gramEnd"/>
            <w:r w:rsidRPr="0095250E">
              <w:t xml:space="preserve">       </w:t>
            </w:r>
            <w:r w:rsidRPr="0095250E">
              <w:rPr>
                <w:color w:val="993366"/>
              </w:rPr>
              <w:t>SEQUENCE</w:t>
            </w:r>
            <w:r w:rsidRPr="0095250E">
              <w:t xml:space="preserve"> {</w:t>
            </w:r>
          </w:p>
          <w:p w14:paraId="3BF7DCA1" w14:textId="77777777" w:rsidR="00895DE4" w:rsidRPr="0095250E" w:rsidRDefault="00895DE4" w:rsidP="004D1A5F">
            <w:pPr>
              <w:pStyle w:val="PL"/>
            </w:pPr>
            <w:r w:rsidRPr="0095250E">
              <w:t xml:space="preserve">    tn-AreaId-r18                  </w:t>
            </w:r>
            <w:proofErr w:type="spellStart"/>
            <w:r w:rsidRPr="0095250E">
              <w:t>TN-AreaId-r18</w:t>
            </w:r>
            <w:proofErr w:type="spellEnd"/>
            <w:r w:rsidRPr="0095250E">
              <w:t>,</w:t>
            </w:r>
          </w:p>
          <w:p w14:paraId="2ED7E115" w14:textId="77777777" w:rsidR="00895DE4" w:rsidRPr="0095250E" w:rsidRDefault="00895DE4" w:rsidP="004D1A5F">
            <w:pPr>
              <w:pStyle w:val="PL"/>
            </w:pPr>
            <w:r w:rsidRPr="0095250E">
              <w:t xml:space="preserve">    tn-ReferenceLocation-r18       ReferenceLocation-r17,</w:t>
            </w:r>
          </w:p>
          <w:p w14:paraId="2AE2BF3E" w14:textId="77777777" w:rsidR="00895DE4" w:rsidRPr="0095250E" w:rsidRDefault="00895DE4" w:rsidP="004D1A5F">
            <w:pPr>
              <w:pStyle w:val="PL"/>
            </w:pPr>
            <w:r w:rsidRPr="0095250E">
              <w:t xml:space="preserve">    tn-DistanceRadius-r18          </w:t>
            </w:r>
            <w:proofErr w:type="gramStart"/>
            <w:r w:rsidRPr="0095250E">
              <w:rPr>
                <w:color w:val="993366"/>
              </w:rPr>
              <w:t>INTEGER</w:t>
            </w:r>
            <w:r w:rsidRPr="0095250E">
              <w:t>(</w:t>
            </w:r>
            <w:proofErr w:type="gramEnd"/>
            <w:r w:rsidRPr="0095250E">
              <w:t>0..65536)</w:t>
            </w:r>
          </w:p>
          <w:p w14:paraId="57CF747B" w14:textId="77777777" w:rsidR="00895DE4" w:rsidRPr="0095250E" w:rsidRDefault="00895DE4" w:rsidP="004D1A5F">
            <w:pPr>
              <w:pStyle w:val="PL"/>
            </w:pPr>
            <w:r w:rsidRPr="0095250E">
              <w:t>}</w:t>
            </w:r>
          </w:p>
          <w:p w14:paraId="4CB46D0C" w14:textId="77777777" w:rsidR="00895DE4" w:rsidRPr="0095250E" w:rsidRDefault="00895DE4" w:rsidP="004D1A5F">
            <w:pPr>
              <w:pStyle w:val="PL"/>
            </w:pPr>
          </w:p>
          <w:p w14:paraId="40C84172" w14:textId="77777777" w:rsidR="00895DE4" w:rsidRPr="0095250E" w:rsidRDefault="00895DE4" w:rsidP="004D1A5F">
            <w:pPr>
              <w:pStyle w:val="PL"/>
            </w:pPr>
            <w:r w:rsidRPr="0095250E">
              <w:t>-- TAG-SIB25-STOP</w:t>
            </w:r>
          </w:p>
          <w:p w14:paraId="5D839551" w14:textId="77777777" w:rsidR="00895DE4" w:rsidRPr="0095250E" w:rsidRDefault="00895DE4" w:rsidP="004D1A5F">
            <w:pPr>
              <w:pStyle w:val="PL"/>
            </w:pPr>
            <w:r w:rsidRPr="0095250E">
              <w:t>-- ASN1STOP</w:t>
            </w:r>
          </w:p>
          <w:p w14:paraId="2652B06F" w14:textId="77777777" w:rsidR="00895DE4" w:rsidRDefault="00895DE4" w:rsidP="00453B12"/>
        </w:tc>
      </w:tr>
    </w:tbl>
    <w:p w14:paraId="4D4A6D70" w14:textId="77777777" w:rsidR="00B147AB" w:rsidRDefault="00B147AB" w:rsidP="00453B12"/>
    <w:p w14:paraId="7B55B3EF" w14:textId="1A975C3F" w:rsidR="0086117A" w:rsidRDefault="00895DE4" w:rsidP="00453B12">
      <w:proofErr w:type="gramStart"/>
      <w:r>
        <w:t>S</w:t>
      </w:r>
      <w:r w:rsidR="00C55240">
        <w:t>imilar to</w:t>
      </w:r>
      <w:proofErr w:type="gramEnd"/>
      <w:r w:rsidR="00E357F5">
        <w:t xml:space="preserve"> the</w:t>
      </w:r>
      <w:r w:rsidR="00C55240">
        <w:t xml:space="preserve"> list of TN coverage area</w:t>
      </w:r>
      <w:r w:rsidR="00E357F5">
        <w:t>s</w:t>
      </w:r>
      <w:r>
        <w:t xml:space="preserve"> in SIB25</w:t>
      </w:r>
      <w:r w:rsidR="00C55240">
        <w:t xml:space="preserve">, the list of </w:t>
      </w:r>
      <w:r w:rsidR="00355001">
        <w:t>MBS broadcast service areas can be broadcast. It may be possible to broadcast just a list of areas where the MBS broadcast service is not intended.</w:t>
      </w:r>
      <w:r w:rsidR="00DD6B41">
        <w:t xml:space="preserve"> In </w:t>
      </w:r>
      <w:r w:rsidR="00E357F5">
        <w:t>addition,</w:t>
      </w:r>
      <w:r w:rsidR="00DD6B41">
        <w:t xml:space="preserve"> </w:t>
      </w:r>
      <w:r w:rsidR="005900AA">
        <w:t xml:space="preserve">it can be discussed whether additional information such as list tracking areas, list of cells/frequencies for </w:t>
      </w:r>
      <w:r w:rsidR="00197843">
        <w:t>service continuity in the intended service area</w:t>
      </w:r>
      <w:r w:rsidR="005B6606">
        <w:t xml:space="preserve"> can be signalled to UEs</w:t>
      </w:r>
      <w:r w:rsidR="00197843">
        <w:t>.</w:t>
      </w:r>
      <w:r w:rsidR="0060108D">
        <w:t xml:space="preserve"> The </w:t>
      </w:r>
      <w:r w:rsidR="005B6606">
        <w:t xml:space="preserve">MBS broadcast </w:t>
      </w:r>
      <w:r w:rsidR="0060108D">
        <w:t>service continuity between TN and NTN cells are supported or not can also be discussed.</w:t>
      </w:r>
    </w:p>
    <w:p w14:paraId="67B2438F" w14:textId="7C0DACEA" w:rsidR="00355001" w:rsidRDefault="00355001" w:rsidP="00453B12">
      <w:r>
        <w:t xml:space="preserve">For this the existing SIB25 can be </w:t>
      </w:r>
      <w:r w:rsidR="0077586D">
        <w:t>extended,</w:t>
      </w:r>
      <w:r>
        <w:t xml:space="preserve"> or a new SIB can be </w:t>
      </w:r>
      <w:r w:rsidR="006F11C1">
        <w:t>introduced</w:t>
      </w:r>
      <w:r>
        <w:t>.</w:t>
      </w:r>
      <w:r w:rsidR="00895DE4">
        <w:t xml:space="preserve"> </w:t>
      </w:r>
      <w:r w:rsidR="0077586D">
        <w:t xml:space="preserve">It is also possible to extend </w:t>
      </w:r>
      <w:r w:rsidR="00895DE4">
        <w:t xml:space="preserve">the existing </w:t>
      </w:r>
      <w:r w:rsidR="00397D2B">
        <w:t>S</w:t>
      </w:r>
      <w:r w:rsidR="00FF2AC5">
        <w:t>IB</w:t>
      </w:r>
      <w:r w:rsidR="00397D2B">
        <w:t xml:space="preserve">21 </w:t>
      </w:r>
      <w:r w:rsidR="003B12BC">
        <w:t>as it provides the information for service continuity</w:t>
      </w:r>
      <w:r w:rsidR="00BE64BF">
        <w:t xml:space="preserve"> such as </w:t>
      </w:r>
      <w:proofErr w:type="spellStart"/>
      <w:r w:rsidR="00BE64BF">
        <w:t>neighbor</w:t>
      </w:r>
      <w:proofErr w:type="spellEnd"/>
      <w:r w:rsidR="00BE64BF">
        <w:t xml:space="preserve"> frequency information</w:t>
      </w:r>
      <w:r w:rsidR="00BB67D6">
        <w:t>.</w:t>
      </w:r>
    </w:p>
    <w:p w14:paraId="68D32258" w14:textId="10498C3F" w:rsidR="00E61C7E" w:rsidRDefault="00D04D39" w:rsidP="00421203">
      <w:pPr>
        <w:pStyle w:val="Proposal"/>
        <w:numPr>
          <w:ilvl w:val="0"/>
          <w:numId w:val="7"/>
        </w:numPr>
        <w:overflowPunct w:val="0"/>
        <w:autoSpaceDE w:val="0"/>
        <w:autoSpaceDN w:val="0"/>
        <w:adjustRightInd w:val="0"/>
        <w:spacing w:before="240" w:after="240" w:line="360" w:lineRule="auto"/>
        <w:contextualSpacing/>
        <w:textAlignment w:val="baseline"/>
      </w:pPr>
      <w:bookmarkStart w:id="13" w:name="_Toc162536245"/>
      <w:bookmarkStart w:id="14" w:name="_Toc162536484"/>
      <w:bookmarkStart w:id="15" w:name="_Toc162551361"/>
      <w:bookmarkStart w:id="16" w:name="_Toc162551390"/>
      <w:bookmarkStart w:id="17" w:name="_Toc162552267"/>
      <w:bookmarkStart w:id="18" w:name="_Toc162858919"/>
      <w:bookmarkStart w:id="19" w:name="_Toc162869533"/>
      <w:bookmarkStart w:id="20" w:name="_Toc163142666"/>
      <w:bookmarkStart w:id="21" w:name="_Toc163142720"/>
      <w:r>
        <w:t>Discuss whether to extend existing SIBs such as SIB21 and SIB25 or introduce new SIB</w:t>
      </w:r>
      <w:r w:rsidR="00E61C7E">
        <w:t xml:space="preserve"> for</w:t>
      </w:r>
      <w:r w:rsidR="003F5B15">
        <w:t xml:space="preserve"> broadcasting</w:t>
      </w:r>
      <w:r w:rsidR="00E61C7E">
        <w:t xml:space="preserve"> </w:t>
      </w:r>
      <w:r w:rsidR="0060108D" w:rsidRPr="0095250E">
        <w:rPr>
          <w:iCs/>
        </w:rPr>
        <w:t xml:space="preserve">MBS </w:t>
      </w:r>
      <w:r w:rsidR="00E61C7E">
        <w:t>broadcast service area.</w:t>
      </w:r>
      <w:bookmarkEnd w:id="13"/>
      <w:bookmarkEnd w:id="14"/>
      <w:bookmarkEnd w:id="15"/>
      <w:bookmarkEnd w:id="16"/>
      <w:bookmarkEnd w:id="17"/>
      <w:bookmarkEnd w:id="18"/>
      <w:bookmarkEnd w:id="19"/>
      <w:bookmarkEnd w:id="20"/>
      <w:bookmarkEnd w:id="21"/>
      <w:r w:rsidR="00827C38">
        <w:t xml:space="preserve"> </w:t>
      </w:r>
    </w:p>
    <w:p w14:paraId="632FEDE1" w14:textId="1F73540F" w:rsidR="00CD54F4" w:rsidRDefault="008914B7" w:rsidP="00421203">
      <w:pPr>
        <w:pStyle w:val="Proposal"/>
        <w:numPr>
          <w:ilvl w:val="0"/>
          <w:numId w:val="7"/>
        </w:numPr>
        <w:overflowPunct w:val="0"/>
        <w:autoSpaceDE w:val="0"/>
        <w:autoSpaceDN w:val="0"/>
        <w:adjustRightInd w:val="0"/>
        <w:spacing w:before="240" w:after="240" w:line="360" w:lineRule="auto"/>
        <w:contextualSpacing/>
        <w:textAlignment w:val="baseline"/>
      </w:pPr>
      <w:bookmarkStart w:id="22" w:name="_Toc162536246"/>
      <w:bookmarkStart w:id="23" w:name="_Toc162536485"/>
      <w:bookmarkStart w:id="24" w:name="_Toc162551362"/>
      <w:bookmarkStart w:id="25" w:name="_Toc162551391"/>
      <w:bookmarkStart w:id="26" w:name="_Toc162552268"/>
      <w:bookmarkStart w:id="27" w:name="_Toc162858920"/>
      <w:bookmarkStart w:id="28" w:name="_Toc162869534"/>
      <w:bookmarkStart w:id="29" w:name="_Toc163142667"/>
      <w:bookmarkStart w:id="30" w:name="_Toc163142721"/>
      <w:r w:rsidRPr="008914B7">
        <w:t>Discuss what information is provided to the UE for use within the broadcast service area (e.g., geofencing</w:t>
      </w:r>
      <w:r w:rsidR="006A1190">
        <w:t xml:space="preserve"> coordinates</w:t>
      </w:r>
      <w:r w:rsidRPr="008914B7">
        <w:t xml:space="preserve">, </w:t>
      </w:r>
      <w:r w:rsidR="00421203">
        <w:t>service continuity information</w:t>
      </w:r>
      <w:r w:rsidRPr="008914B7">
        <w:t xml:space="preserve"> etc.).</w:t>
      </w:r>
      <w:bookmarkEnd w:id="22"/>
      <w:bookmarkEnd w:id="23"/>
      <w:bookmarkEnd w:id="24"/>
      <w:bookmarkEnd w:id="25"/>
      <w:bookmarkEnd w:id="26"/>
      <w:bookmarkEnd w:id="27"/>
      <w:bookmarkEnd w:id="28"/>
      <w:bookmarkEnd w:id="29"/>
      <w:bookmarkEnd w:id="30"/>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166C7865" w14:textId="77777777" w:rsidR="0077586D" w:rsidRDefault="00A81919">
      <w:pPr>
        <w:pStyle w:val="TOC1"/>
        <w:tabs>
          <w:tab w:val="left" w:pos="1540"/>
        </w:tabs>
        <w:rPr>
          <w:rFonts w:asciiTheme="minorHAnsi" w:eastAsiaTheme="minorEastAsia" w:hAnsiTheme="minorHAnsi" w:cstheme="minorBidi"/>
          <w:kern w:val="2"/>
          <w:szCs w:val="22"/>
          <w:lang w:val="en-US"/>
          <w14:ligatures w14:val="standardContextual"/>
        </w:rPr>
      </w:pPr>
      <w:r>
        <w:fldChar w:fldCharType="begin"/>
      </w:r>
      <w:r>
        <w:instrText xml:space="preserve"> TOC \n \t "Proposal,1,Observation,1" </w:instrText>
      </w:r>
      <w:r>
        <w:fldChar w:fldCharType="separate"/>
      </w:r>
      <w:r w:rsidR="0077586D" w:rsidRPr="002654C8">
        <w:rPr>
          <w:color w:val="000000"/>
        </w:rPr>
        <w:t>Observation 1.</w:t>
      </w:r>
      <w:r w:rsidR="0077586D">
        <w:rPr>
          <w:rFonts w:asciiTheme="minorHAnsi" w:eastAsiaTheme="minorEastAsia" w:hAnsiTheme="minorHAnsi" w:cstheme="minorBidi"/>
          <w:kern w:val="2"/>
          <w:szCs w:val="22"/>
          <w:lang w:val="en-US"/>
          <w14:ligatures w14:val="standardContextual"/>
        </w:rPr>
        <w:tab/>
      </w:r>
      <w:r w:rsidR="0077586D">
        <w:t>The purpose of signaling MBS broadcast service area could be to indicate that the regional or local broadcast service may not be intended for UEs outside of the broadcast service area.</w:t>
      </w:r>
    </w:p>
    <w:p w14:paraId="5A536A92" w14:textId="77777777" w:rsidR="0077586D" w:rsidRDefault="0077586D">
      <w:pPr>
        <w:pStyle w:val="TOC1"/>
        <w:tabs>
          <w:tab w:val="left" w:pos="1320"/>
        </w:tabs>
        <w:rPr>
          <w:rFonts w:asciiTheme="minorHAnsi" w:eastAsiaTheme="minorEastAsia" w:hAnsiTheme="minorHAnsi" w:cstheme="minorBidi"/>
          <w:kern w:val="2"/>
          <w:szCs w:val="22"/>
          <w:lang w:val="en-US"/>
          <w14:ligatures w14:val="standardContextual"/>
        </w:rPr>
      </w:pPr>
      <w:r>
        <w:t>Proposal 1</w:t>
      </w:r>
      <w:r>
        <w:rPr>
          <w:rFonts w:asciiTheme="minorHAnsi" w:eastAsiaTheme="minorEastAsia" w:hAnsiTheme="minorHAnsi" w:cstheme="minorBidi"/>
          <w:kern w:val="2"/>
          <w:szCs w:val="22"/>
          <w:lang w:val="en-US"/>
          <w14:ligatures w14:val="standardContextual"/>
        </w:rPr>
        <w:tab/>
      </w:r>
      <w:r>
        <w:t>Confirm that UE outside of broadcast service area may be able to get the service, i.e. RAN2 will not work on solution to restrict the access to the MBS broadcast outside of intended broadcast service area.</w:t>
      </w:r>
    </w:p>
    <w:p w14:paraId="4D2C3F80" w14:textId="77777777" w:rsidR="0077586D" w:rsidRDefault="0077586D">
      <w:pPr>
        <w:pStyle w:val="TOC1"/>
        <w:tabs>
          <w:tab w:val="left" w:pos="1320"/>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 xml:space="preserve">Discuss whether to extend existing SIBs such as SIB21 and SIB25 or introduce new SIB for broadcasting </w:t>
      </w:r>
      <w:r w:rsidRPr="002654C8">
        <w:rPr>
          <w:iCs/>
        </w:rPr>
        <w:t xml:space="preserve">MBS </w:t>
      </w:r>
      <w:r>
        <w:t>broadcast service area.</w:t>
      </w:r>
    </w:p>
    <w:p w14:paraId="358CF0E2" w14:textId="77777777" w:rsidR="0077586D" w:rsidRDefault="0077586D">
      <w:pPr>
        <w:pStyle w:val="TOC1"/>
        <w:tabs>
          <w:tab w:val="left" w:pos="1320"/>
        </w:tabs>
        <w:rPr>
          <w:rFonts w:asciiTheme="minorHAnsi" w:eastAsiaTheme="minorEastAsia" w:hAnsiTheme="minorHAnsi" w:cstheme="minorBidi"/>
          <w:kern w:val="2"/>
          <w:szCs w:val="22"/>
          <w:lang w:val="en-US"/>
          <w14:ligatures w14:val="standardContextual"/>
        </w:rPr>
      </w:pPr>
      <w:r>
        <w:t>Proposal 3</w:t>
      </w:r>
      <w:r>
        <w:rPr>
          <w:rFonts w:asciiTheme="minorHAnsi" w:eastAsiaTheme="minorEastAsia" w:hAnsiTheme="minorHAnsi" w:cstheme="minorBidi"/>
          <w:kern w:val="2"/>
          <w:szCs w:val="22"/>
          <w:lang w:val="en-US"/>
          <w14:ligatures w14:val="standardContextual"/>
        </w:rPr>
        <w:tab/>
      </w:r>
      <w:r>
        <w:t>Discuss what information is provided to the UE for use within the broadcast service area (e.g., geofencing coordinates, service continuity information etc.).</w:t>
      </w:r>
    </w:p>
    <w:p w14:paraId="5A1FAD7F" w14:textId="7B01F0B4" w:rsidR="00453B12" w:rsidRPr="002531E6" w:rsidRDefault="00A81919" w:rsidP="002531E6">
      <w:pPr>
        <w:pStyle w:val="Heading1"/>
        <w:numPr>
          <w:ilvl w:val="0"/>
          <w:numId w:val="6"/>
        </w:numPr>
        <w:pBdr>
          <w:top w:val="single" w:sz="12" w:space="2" w:color="auto"/>
        </w:pBdr>
        <w:tabs>
          <w:tab w:val="num" w:pos="720"/>
        </w:tabs>
        <w:ind w:left="720" w:hanging="720"/>
      </w:pPr>
      <w:r>
        <w:rPr>
          <w:noProof/>
          <w:sz w:val="22"/>
        </w:rPr>
        <w:fldChar w:fldCharType="end"/>
      </w:r>
      <w:r w:rsidR="002531E6" w:rsidRPr="002531E6">
        <w:t>Reference</w:t>
      </w:r>
    </w:p>
    <w:p w14:paraId="572A2F30" w14:textId="4D5D6F7D" w:rsidR="002531E6" w:rsidRDefault="002531E6" w:rsidP="00453B12">
      <w:r>
        <w:t xml:space="preserve">[1] </w:t>
      </w:r>
      <w:r w:rsidR="0039578C" w:rsidRPr="0039578C">
        <w:t>RP-240775</w:t>
      </w:r>
      <w:r w:rsidR="003809E1">
        <w:t>, “</w:t>
      </w:r>
      <w:r w:rsidR="008C7584" w:rsidRPr="008C7584">
        <w:t>Revised WID: Non-Terrestrial Networks (NTN) for NR Phase 3</w:t>
      </w:r>
      <w:r w:rsidR="00441EEB">
        <w:t xml:space="preserve">”, </w:t>
      </w:r>
      <w:r w:rsidR="0073386A" w:rsidRPr="0073386A">
        <w:t>March 18-22, 2024</w:t>
      </w:r>
      <w:r w:rsidR="00441EEB">
        <w:t>.</w:t>
      </w:r>
    </w:p>
    <w:sectPr w:rsidR="002531E6" w:rsidSect="00861806">
      <w:footerReference w:type="default" r:id="rId13"/>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C1AEA" w14:textId="77777777" w:rsidR="00861806" w:rsidRDefault="00861806">
      <w:pPr>
        <w:spacing w:after="0"/>
      </w:pPr>
      <w:r>
        <w:separator/>
      </w:r>
    </w:p>
  </w:endnote>
  <w:endnote w:type="continuationSeparator" w:id="0">
    <w:p w14:paraId="6961BA48" w14:textId="77777777" w:rsidR="00861806" w:rsidRDefault="00861806">
      <w:pPr>
        <w:spacing w:after="0"/>
      </w:pPr>
      <w:r>
        <w:continuationSeparator/>
      </w:r>
    </w:p>
  </w:endnote>
  <w:endnote w:type="continuationNotice" w:id="1">
    <w:p w14:paraId="225E02E7" w14:textId="77777777" w:rsidR="00861806" w:rsidRDefault="008618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185F5" w14:textId="77777777" w:rsidR="00861806" w:rsidRDefault="00861806">
      <w:pPr>
        <w:spacing w:after="0"/>
      </w:pPr>
      <w:r>
        <w:separator/>
      </w:r>
    </w:p>
  </w:footnote>
  <w:footnote w:type="continuationSeparator" w:id="0">
    <w:p w14:paraId="104BB42F" w14:textId="77777777" w:rsidR="00861806" w:rsidRDefault="00861806">
      <w:pPr>
        <w:spacing w:after="0"/>
      </w:pPr>
      <w:r>
        <w:continuationSeparator/>
      </w:r>
    </w:p>
  </w:footnote>
  <w:footnote w:type="continuationNotice" w:id="1">
    <w:p w14:paraId="5C4EDBF4" w14:textId="77777777" w:rsidR="00861806" w:rsidRDefault="008618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2"/>
  </w:num>
  <w:num w:numId="2" w16cid:durableId="165562215">
    <w:abstractNumId w:val="17"/>
  </w:num>
  <w:num w:numId="3" w16cid:durableId="848328707">
    <w:abstractNumId w:val="1"/>
  </w:num>
  <w:num w:numId="4" w16cid:durableId="1457137946">
    <w:abstractNumId w:val="10"/>
  </w:num>
  <w:num w:numId="5" w16cid:durableId="1097747988">
    <w:abstractNumId w:val="17"/>
  </w:num>
  <w:num w:numId="6" w16cid:durableId="675621482">
    <w:abstractNumId w:val="7"/>
  </w:num>
  <w:num w:numId="7" w16cid:durableId="1304964842">
    <w:abstractNumId w:val="12"/>
  </w:num>
  <w:num w:numId="8" w16cid:durableId="125047382">
    <w:abstractNumId w:val="8"/>
  </w:num>
  <w:num w:numId="9" w16cid:durableId="269971381">
    <w:abstractNumId w:val="14"/>
  </w:num>
  <w:num w:numId="10" w16cid:durableId="1166480600">
    <w:abstractNumId w:val="5"/>
  </w:num>
  <w:num w:numId="11" w16cid:durableId="1899051820">
    <w:abstractNumId w:val="9"/>
  </w:num>
  <w:num w:numId="12" w16cid:durableId="1750300129">
    <w:abstractNumId w:val="11"/>
  </w:num>
  <w:num w:numId="13" w16cid:durableId="1246263475">
    <w:abstractNumId w:val="10"/>
  </w:num>
  <w:num w:numId="14" w16cid:durableId="1670326438">
    <w:abstractNumId w:val="10"/>
  </w:num>
  <w:num w:numId="15" w16cid:durableId="1185368059">
    <w:abstractNumId w:val="0"/>
  </w:num>
  <w:num w:numId="16" w16cid:durableId="680856319">
    <w:abstractNumId w:val="4"/>
  </w:num>
  <w:num w:numId="17" w16cid:durableId="1320383609">
    <w:abstractNumId w:val="3"/>
  </w:num>
  <w:num w:numId="18" w16cid:durableId="1506020440">
    <w:abstractNumId w:val="10"/>
  </w:num>
  <w:num w:numId="19" w16cid:durableId="1131437444">
    <w:abstractNumId w:val="13"/>
  </w:num>
  <w:num w:numId="20" w16cid:durableId="1554272510">
    <w:abstractNumId w:val="10"/>
  </w:num>
  <w:num w:numId="21" w16cid:durableId="2070877550">
    <w:abstractNumId w:val="15"/>
  </w:num>
  <w:num w:numId="22" w16cid:durableId="1726248054">
    <w:abstractNumId w:val="10"/>
  </w:num>
  <w:num w:numId="23" w16cid:durableId="611282159">
    <w:abstractNumId w:val="16"/>
  </w:num>
  <w:num w:numId="24" w16cid:durableId="1473984226">
    <w:abstractNumId w:val="6"/>
  </w:num>
  <w:num w:numId="25" w16cid:durableId="52776904">
    <w:abstractNumId w:val="10"/>
  </w:num>
  <w:num w:numId="26" w16cid:durableId="1940775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2101C"/>
    <w:rsid w:val="00024312"/>
    <w:rsid w:val="00035798"/>
    <w:rsid w:val="000730BA"/>
    <w:rsid w:val="00076F06"/>
    <w:rsid w:val="00077247"/>
    <w:rsid w:val="000841DA"/>
    <w:rsid w:val="000855B8"/>
    <w:rsid w:val="00087A9A"/>
    <w:rsid w:val="000933B6"/>
    <w:rsid w:val="000957D6"/>
    <w:rsid w:val="000B4525"/>
    <w:rsid w:val="000B5286"/>
    <w:rsid w:val="000D3D32"/>
    <w:rsid w:val="000D51CD"/>
    <w:rsid w:val="000D7711"/>
    <w:rsid w:val="00110DCF"/>
    <w:rsid w:val="001120ED"/>
    <w:rsid w:val="00121D6B"/>
    <w:rsid w:val="00127178"/>
    <w:rsid w:val="001338B7"/>
    <w:rsid w:val="00146B2F"/>
    <w:rsid w:val="001547BE"/>
    <w:rsid w:val="0016005C"/>
    <w:rsid w:val="00162617"/>
    <w:rsid w:val="00167EED"/>
    <w:rsid w:val="00192E2D"/>
    <w:rsid w:val="00197843"/>
    <w:rsid w:val="001A0825"/>
    <w:rsid w:val="001C0D36"/>
    <w:rsid w:val="001C79A1"/>
    <w:rsid w:val="001F709D"/>
    <w:rsid w:val="00200750"/>
    <w:rsid w:val="00200CB4"/>
    <w:rsid w:val="002040AD"/>
    <w:rsid w:val="002138E1"/>
    <w:rsid w:val="00214438"/>
    <w:rsid w:val="00230B91"/>
    <w:rsid w:val="00241E90"/>
    <w:rsid w:val="002531E6"/>
    <w:rsid w:val="0026765E"/>
    <w:rsid w:val="00280CE9"/>
    <w:rsid w:val="00291859"/>
    <w:rsid w:val="002954D8"/>
    <w:rsid w:val="00297FF8"/>
    <w:rsid w:val="002A0B22"/>
    <w:rsid w:val="002A0BF5"/>
    <w:rsid w:val="002A538D"/>
    <w:rsid w:val="002A57B4"/>
    <w:rsid w:val="002B0640"/>
    <w:rsid w:val="002C08B1"/>
    <w:rsid w:val="002C6B35"/>
    <w:rsid w:val="002C7B84"/>
    <w:rsid w:val="002D4724"/>
    <w:rsid w:val="002D7705"/>
    <w:rsid w:val="002E1490"/>
    <w:rsid w:val="002E505D"/>
    <w:rsid w:val="002F0BC7"/>
    <w:rsid w:val="002F66DE"/>
    <w:rsid w:val="00344C4B"/>
    <w:rsid w:val="00346EA7"/>
    <w:rsid w:val="00355001"/>
    <w:rsid w:val="00356604"/>
    <w:rsid w:val="00356D03"/>
    <w:rsid w:val="003631CC"/>
    <w:rsid w:val="003766BD"/>
    <w:rsid w:val="003809E1"/>
    <w:rsid w:val="003809E3"/>
    <w:rsid w:val="00392739"/>
    <w:rsid w:val="0039578C"/>
    <w:rsid w:val="00397D2B"/>
    <w:rsid w:val="003A75B4"/>
    <w:rsid w:val="003A7F98"/>
    <w:rsid w:val="003B12BC"/>
    <w:rsid w:val="003B3BF0"/>
    <w:rsid w:val="003C263F"/>
    <w:rsid w:val="003C32BE"/>
    <w:rsid w:val="003C4A6F"/>
    <w:rsid w:val="003E0075"/>
    <w:rsid w:val="003E595D"/>
    <w:rsid w:val="003F4202"/>
    <w:rsid w:val="003F5B15"/>
    <w:rsid w:val="003F60FE"/>
    <w:rsid w:val="003F7B7C"/>
    <w:rsid w:val="00414659"/>
    <w:rsid w:val="00417E6E"/>
    <w:rsid w:val="00421203"/>
    <w:rsid w:val="0043054C"/>
    <w:rsid w:val="00441EEB"/>
    <w:rsid w:val="00443BA0"/>
    <w:rsid w:val="00452885"/>
    <w:rsid w:val="00453B12"/>
    <w:rsid w:val="004601DB"/>
    <w:rsid w:val="00461244"/>
    <w:rsid w:val="00475EE2"/>
    <w:rsid w:val="0049738F"/>
    <w:rsid w:val="004A0679"/>
    <w:rsid w:val="004A1B8A"/>
    <w:rsid w:val="004B6A20"/>
    <w:rsid w:val="004C3083"/>
    <w:rsid w:val="004D03B3"/>
    <w:rsid w:val="004D1A5F"/>
    <w:rsid w:val="004E1CF9"/>
    <w:rsid w:val="004E4061"/>
    <w:rsid w:val="004F2903"/>
    <w:rsid w:val="004F4B8E"/>
    <w:rsid w:val="004F59D6"/>
    <w:rsid w:val="004F665E"/>
    <w:rsid w:val="00521DD3"/>
    <w:rsid w:val="005473B9"/>
    <w:rsid w:val="0055032C"/>
    <w:rsid w:val="0056464A"/>
    <w:rsid w:val="00564DAA"/>
    <w:rsid w:val="00567739"/>
    <w:rsid w:val="00575B3D"/>
    <w:rsid w:val="005900AA"/>
    <w:rsid w:val="005A4488"/>
    <w:rsid w:val="005A4DD8"/>
    <w:rsid w:val="005A6301"/>
    <w:rsid w:val="005A663B"/>
    <w:rsid w:val="005B2476"/>
    <w:rsid w:val="005B6606"/>
    <w:rsid w:val="005B683B"/>
    <w:rsid w:val="005C3338"/>
    <w:rsid w:val="005C4EDA"/>
    <w:rsid w:val="005C5690"/>
    <w:rsid w:val="005D7334"/>
    <w:rsid w:val="005F5769"/>
    <w:rsid w:val="005F71C7"/>
    <w:rsid w:val="0060108D"/>
    <w:rsid w:val="0060356D"/>
    <w:rsid w:val="00617871"/>
    <w:rsid w:val="006324A9"/>
    <w:rsid w:val="00635E23"/>
    <w:rsid w:val="00640F25"/>
    <w:rsid w:val="00660099"/>
    <w:rsid w:val="00661AB9"/>
    <w:rsid w:val="006629B4"/>
    <w:rsid w:val="00672025"/>
    <w:rsid w:val="00674E3C"/>
    <w:rsid w:val="00685D63"/>
    <w:rsid w:val="006961FB"/>
    <w:rsid w:val="006A1190"/>
    <w:rsid w:val="006A4146"/>
    <w:rsid w:val="006C0739"/>
    <w:rsid w:val="006C0A9B"/>
    <w:rsid w:val="006D5A22"/>
    <w:rsid w:val="006D750A"/>
    <w:rsid w:val="006E4B17"/>
    <w:rsid w:val="006E6BAC"/>
    <w:rsid w:val="006F11C1"/>
    <w:rsid w:val="00701D46"/>
    <w:rsid w:val="007064FB"/>
    <w:rsid w:val="00727ECE"/>
    <w:rsid w:val="0073386A"/>
    <w:rsid w:val="00745D1A"/>
    <w:rsid w:val="00763CEF"/>
    <w:rsid w:val="007645C4"/>
    <w:rsid w:val="00771DCF"/>
    <w:rsid w:val="0077220C"/>
    <w:rsid w:val="0077586D"/>
    <w:rsid w:val="00777CBA"/>
    <w:rsid w:val="00784D94"/>
    <w:rsid w:val="00785D78"/>
    <w:rsid w:val="007A3F98"/>
    <w:rsid w:val="007A714C"/>
    <w:rsid w:val="007A7EFD"/>
    <w:rsid w:val="007B13EA"/>
    <w:rsid w:val="007E5545"/>
    <w:rsid w:val="007F26E2"/>
    <w:rsid w:val="007F6D1C"/>
    <w:rsid w:val="008065A2"/>
    <w:rsid w:val="008135B9"/>
    <w:rsid w:val="0081506E"/>
    <w:rsid w:val="00823DA1"/>
    <w:rsid w:val="00827C38"/>
    <w:rsid w:val="00831AB1"/>
    <w:rsid w:val="008549D2"/>
    <w:rsid w:val="0086117A"/>
    <w:rsid w:val="00861806"/>
    <w:rsid w:val="00862891"/>
    <w:rsid w:val="00862ABC"/>
    <w:rsid w:val="008708D5"/>
    <w:rsid w:val="008758EE"/>
    <w:rsid w:val="008776B3"/>
    <w:rsid w:val="00890801"/>
    <w:rsid w:val="008914B7"/>
    <w:rsid w:val="00895DE4"/>
    <w:rsid w:val="008B2A7B"/>
    <w:rsid w:val="008C7584"/>
    <w:rsid w:val="008D4177"/>
    <w:rsid w:val="008D78D4"/>
    <w:rsid w:val="008D7D8B"/>
    <w:rsid w:val="008E2ED7"/>
    <w:rsid w:val="008F0BC7"/>
    <w:rsid w:val="009010A2"/>
    <w:rsid w:val="00905F05"/>
    <w:rsid w:val="00930583"/>
    <w:rsid w:val="00933664"/>
    <w:rsid w:val="009362FF"/>
    <w:rsid w:val="00951576"/>
    <w:rsid w:val="00952132"/>
    <w:rsid w:val="009550DF"/>
    <w:rsid w:val="00963F05"/>
    <w:rsid w:val="009A7941"/>
    <w:rsid w:val="009B0575"/>
    <w:rsid w:val="009B297C"/>
    <w:rsid w:val="009B6889"/>
    <w:rsid w:val="009C33D7"/>
    <w:rsid w:val="009C52E2"/>
    <w:rsid w:val="009D2AE3"/>
    <w:rsid w:val="009E1DEC"/>
    <w:rsid w:val="009E263F"/>
    <w:rsid w:val="009F385E"/>
    <w:rsid w:val="00A069F4"/>
    <w:rsid w:val="00A10E9E"/>
    <w:rsid w:val="00A14473"/>
    <w:rsid w:val="00A2227E"/>
    <w:rsid w:val="00A32079"/>
    <w:rsid w:val="00A367C4"/>
    <w:rsid w:val="00A40DAF"/>
    <w:rsid w:val="00A42D72"/>
    <w:rsid w:val="00A57561"/>
    <w:rsid w:val="00A7127A"/>
    <w:rsid w:val="00A7483D"/>
    <w:rsid w:val="00A81919"/>
    <w:rsid w:val="00AA5F72"/>
    <w:rsid w:val="00AB5F35"/>
    <w:rsid w:val="00AC4FDB"/>
    <w:rsid w:val="00AC6A6E"/>
    <w:rsid w:val="00AD5255"/>
    <w:rsid w:val="00AE50B5"/>
    <w:rsid w:val="00AE63DF"/>
    <w:rsid w:val="00AF367E"/>
    <w:rsid w:val="00B07E0C"/>
    <w:rsid w:val="00B124A8"/>
    <w:rsid w:val="00B12935"/>
    <w:rsid w:val="00B1449E"/>
    <w:rsid w:val="00B147AB"/>
    <w:rsid w:val="00B452DB"/>
    <w:rsid w:val="00B52D4F"/>
    <w:rsid w:val="00B539DC"/>
    <w:rsid w:val="00B55AB2"/>
    <w:rsid w:val="00B71C6D"/>
    <w:rsid w:val="00B81D9C"/>
    <w:rsid w:val="00B85A77"/>
    <w:rsid w:val="00B96C46"/>
    <w:rsid w:val="00B976F4"/>
    <w:rsid w:val="00BA59FF"/>
    <w:rsid w:val="00BB00E3"/>
    <w:rsid w:val="00BB67D6"/>
    <w:rsid w:val="00BC0D83"/>
    <w:rsid w:val="00BC4C81"/>
    <w:rsid w:val="00BC5A66"/>
    <w:rsid w:val="00BD180E"/>
    <w:rsid w:val="00BD1CDB"/>
    <w:rsid w:val="00BD2889"/>
    <w:rsid w:val="00BD6B8D"/>
    <w:rsid w:val="00BE5C8D"/>
    <w:rsid w:val="00BE64BF"/>
    <w:rsid w:val="00BF70CD"/>
    <w:rsid w:val="00C01766"/>
    <w:rsid w:val="00C077E8"/>
    <w:rsid w:val="00C1362B"/>
    <w:rsid w:val="00C14693"/>
    <w:rsid w:val="00C17BE7"/>
    <w:rsid w:val="00C25E55"/>
    <w:rsid w:val="00C338C1"/>
    <w:rsid w:val="00C37189"/>
    <w:rsid w:val="00C37BEF"/>
    <w:rsid w:val="00C459B4"/>
    <w:rsid w:val="00C523B8"/>
    <w:rsid w:val="00C55240"/>
    <w:rsid w:val="00C6229A"/>
    <w:rsid w:val="00C64588"/>
    <w:rsid w:val="00C67AD8"/>
    <w:rsid w:val="00C72A15"/>
    <w:rsid w:val="00C740E7"/>
    <w:rsid w:val="00C75EFB"/>
    <w:rsid w:val="00C7659B"/>
    <w:rsid w:val="00CA4CE9"/>
    <w:rsid w:val="00CB3C4B"/>
    <w:rsid w:val="00CB4D23"/>
    <w:rsid w:val="00CB5D3F"/>
    <w:rsid w:val="00CC79CB"/>
    <w:rsid w:val="00CD54F4"/>
    <w:rsid w:val="00CE2097"/>
    <w:rsid w:val="00CE2985"/>
    <w:rsid w:val="00CE7977"/>
    <w:rsid w:val="00CF0764"/>
    <w:rsid w:val="00D04D39"/>
    <w:rsid w:val="00D07073"/>
    <w:rsid w:val="00D2317F"/>
    <w:rsid w:val="00D25EB7"/>
    <w:rsid w:val="00D4613B"/>
    <w:rsid w:val="00D67E70"/>
    <w:rsid w:val="00D70518"/>
    <w:rsid w:val="00D75361"/>
    <w:rsid w:val="00D84449"/>
    <w:rsid w:val="00D94D38"/>
    <w:rsid w:val="00D94F46"/>
    <w:rsid w:val="00DA30C0"/>
    <w:rsid w:val="00DB29E3"/>
    <w:rsid w:val="00DC4C53"/>
    <w:rsid w:val="00DD08BD"/>
    <w:rsid w:val="00DD2504"/>
    <w:rsid w:val="00DD434C"/>
    <w:rsid w:val="00DD6B41"/>
    <w:rsid w:val="00DE6A6A"/>
    <w:rsid w:val="00DF3A50"/>
    <w:rsid w:val="00DF6B0D"/>
    <w:rsid w:val="00E003A2"/>
    <w:rsid w:val="00E00F93"/>
    <w:rsid w:val="00E03D39"/>
    <w:rsid w:val="00E30B0F"/>
    <w:rsid w:val="00E357F5"/>
    <w:rsid w:val="00E41273"/>
    <w:rsid w:val="00E4647A"/>
    <w:rsid w:val="00E61C7E"/>
    <w:rsid w:val="00E673C7"/>
    <w:rsid w:val="00E868A4"/>
    <w:rsid w:val="00E932A5"/>
    <w:rsid w:val="00EA0AE4"/>
    <w:rsid w:val="00EB45B9"/>
    <w:rsid w:val="00EB646A"/>
    <w:rsid w:val="00EC0ED8"/>
    <w:rsid w:val="00EE36C6"/>
    <w:rsid w:val="00EE47B1"/>
    <w:rsid w:val="00EE599D"/>
    <w:rsid w:val="00F039A2"/>
    <w:rsid w:val="00F05A56"/>
    <w:rsid w:val="00F22354"/>
    <w:rsid w:val="00F22716"/>
    <w:rsid w:val="00F23E84"/>
    <w:rsid w:val="00F7407D"/>
    <w:rsid w:val="00F7734E"/>
    <w:rsid w:val="00F8598B"/>
    <w:rsid w:val="00F90A7A"/>
    <w:rsid w:val="00F9670D"/>
    <w:rsid w:val="00FA33E0"/>
    <w:rsid w:val="00FA37CB"/>
    <w:rsid w:val="00FB1C0E"/>
    <w:rsid w:val="00FB757E"/>
    <w:rsid w:val="00FC5386"/>
    <w:rsid w:val="00FC5DA6"/>
    <w:rsid w:val="00FC6AE7"/>
    <w:rsid w:val="00FE2785"/>
    <w:rsid w:val="00FF2AC5"/>
    <w:rsid w:val="00FF58E9"/>
    <w:rsid w:val="00FF6BD8"/>
    <w:rsid w:val="00FF6FBC"/>
    <w:rsid w:val="02890A85"/>
    <w:rsid w:val="185F60B4"/>
    <w:rsid w:val="3FCBD0A6"/>
    <w:rsid w:val="40BE6502"/>
    <w:rsid w:val="43ECF1FA"/>
    <w:rsid w:val="46221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4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4D1A5F"/>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5B4CC3D2-B443-4837-8F57-625D9F8A4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1008</Words>
  <Characters>5752</Characters>
  <Application>Microsoft Office Word</Application>
  <DocSecurity>0</DocSecurity>
  <Lines>47</Lines>
  <Paragraphs>13</Paragraphs>
  <ScaleCrop>false</ScaleCrop>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336</cp:revision>
  <dcterms:created xsi:type="dcterms:W3CDTF">2023-09-25T21:46:00Z</dcterms:created>
  <dcterms:modified xsi:type="dcterms:W3CDTF">2024-04-05T00:05:00Z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